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rPr>
        <w:t>国家计委关于印发建设项目前期工作咨询收费暂行规定的通知 计价格〔1999〕1283号</w:t>
      </w:r>
    </w:p>
    <w:p>
      <w:pPr>
        <w:keepNext w:val="0"/>
        <w:keepLines w:val="0"/>
        <w:widowControl/>
        <w:suppressLineNumbers w:val="0"/>
        <w:jc w:val="left"/>
      </w:pPr>
      <w:bookmarkStart w:id="0" w:name="_GoBack"/>
      <w:bookmarkEnd w:id="0"/>
      <w:r>
        <w:rPr>
          <w:rFonts w:hint="eastAsia" w:ascii="微软雅黑" w:hAnsi="微软雅黑" w:eastAsia="微软雅黑" w:cs="微软雅黑"/>
          <w:i w:val="0"/>
          <w:iCs w:val="0"/>
          <w:caps w:val="0"/>
          <w:color w:val="333333"/>
          <w:spacing w:val="0"/>
          <w:kern w:val="0"/>
          <w:sz w:val="21"/>
          <w:szCs w:val="21"/>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各省、自治区、直辖市物价局（委员会）、计委（计经委），</w: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444444"/>
          <w:spacing w:val="0"/>
          <w:kern w:val="0"/>
          <w:sz w:val="24"/>
          <w:szCs w:val="24"/>
          <w:u w:val="none"/>
          <w:lang w:val="en-US" w:eastAsia="zh-CN" w:bidi="ar"/>
        </w:rPr>
        <w:instrText xml:space="preserve"> HYPERLINK "https://baike.baidu.com/item/%E4%B8%AD%E5%9B%BD%E5%B7%A5%E7%A8%8B%E5%92%A8%E8%AF%A2%E5%8D%8F%E4%BC%9A?fromModule=lemma_inlink" </w:instrTex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separate"/>
      </w:r>
      <w:r>
        <w:rPr>
          <w:rStyle w:val="5"/>
          <w:rFonts w:hint="eastAsia" w:ascii="微软雅黑" w:hAnsi="微软雅黑" w:eastAsia="微软雅黑" w:cs="微软雅黑"/>
          <w:i w:val="0"/>
          <w:iCs w:val="0"/>
          <w:caps w:val="0"/>
          <w:color w:val="444444"/>
          <w:spacing w:val="0"/>
          <w:sz w:val="24"/>
          <w:szCs w:val="24"/>
          <w:u w:val="none"/>
        </w:rPr>
        <w:t>中国工程咨询协会</w: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333333"/>
          <w:spacing w:val="0"/>
          <w:kern w:val="0"/>
          <w:sz w:val="24"/>
          <w:szCs w:val="24"/>
          <w:lang w:val="en-US" w:eastAsia="zh-CN" w:bidi="ar"/>
        </w:rPr>
        <w:t>：</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为规范建设项目 前期工作咨询收费行为，维护委托人和工程咨询机构的合法权益，促进</w: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begin"/>
      </w:r>
      <w:r>
        <w:rPr>
          <w:rFonts w:hint="eastAsia" w:ascii="微软雅黑" w:hAnsi="微软雅黑" w:eastAsia="微软雅黑" w:cs="微软雅黑"/>
          <w:i w:val="0"/>
          <w:iCs w:val="0"/>
          <w:caps w:val="0"/>
          <w:color w:val="444444"/>
          <w:spacing w:val="0"/>
          <w:kern w:val="0"/>
          <w:sz w:val="24"/>
          <w:szCs w:val="24"/>
          <w:u w:val="none"/>
          <w:lang w:val="en-US" w:eastAsia="zh-CN" w:bidi="ar"/>
        </w:rPr>
        <w:instrText xml:space="preserve"> HYPERLINK "https://baike.baidu.com/item/%E5%B7%A5%E7%A8%8B%E5%92%A8%E8%AF%A2%E4%B8%9A/2371559?fromModule=lemma_inlink" </w:instrTex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separate"/>
      </w:r>
      <w:r>
        <w:rPr>
          <w:rStyle w:val="5"/>
          <w:rFonts w:hint="eastAsia" w:ascii="微软雅黑" w:hAnsi="微软雅黑" w:eastAsia="微软雅黑" w:cs="微软雅黑"/>
          <w:i w:val="0"/>
          <w:iCs w:val="0"/>
          <w:caps w:val="0"/>
          <w:color w:val="444444"/>
          <w:spacing w:val="0"/>
          <w:sz w:val="24"/>
          <w:szCs w:val="24"/>
          <w:u w:val="none"/>
        </w:rPr>
        <w:t>工程咨询业</w:t>
      </w:r>
      <w:r>
        <w:rPr>
          <w:rFonts w:hint="eastAsia" w:ascii="微软雅黑" w:hAnsi="微软雅黑" w:eastAsia="微软雅黑" w:cs="微软雅黑"/>
          <w:i w:val="0"/>
          <w:iCs w:val="0"/>
          <w:caps w:val="0"/>
          <w:color w:val="444444"/>
          <w:spacing w:val="0"/>
          <w:kern w:val="0"/>
          <w:sz w:val="24"/>
          <w:szCs w:val="24"/>
          <w:u w:val="none"/>
          <w:lang w:val="en-US" w:eastAsia="zh-CN" w:bidi="ar"/>
        </w:rPr>
        <w:fldChar w:fldCharType="end"/>
      </w:r>
      <w:r>
        <w:rPr>
          <w:rFonts w:hint="eastAsia" w:ascii="微软雅黑" w:hAnsi="微软雅黑" w:eastAsia="微软雅黑" w:cs="微软雅黑"/>
          <w:i w:val="0"/>
          <w:iCs w:val="0"/>
          <w:caps w:val="0"/>
          <w:color w:val="333333"/>
          <w:spacing w:val="0"/>
          <w:kern w:val="0"/>
          <w:sz w:val="24"/>
          <w:szCs w:val="24"/>
          <w:lang w:val="en-US" w:eastAsia="zh-CN" w:bidi="ar"/>
        </w:rPr>
        <w:t>的健康发展，我委制定了《建设项目 前期工作咨询收费暂行规定》，现印发给你们，请按照执行，并将执行中遇到的问题及时反馈我委。</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附：建设项目 前期工作咨询收费暂行规定</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国家计委</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一九九九年九月十日</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一、按建设项目估算投资额分档收费标准                                         单位：万元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05"/>
        <w:gridCol w:w="1545"/>
        <w:gridCol w:w="1515"/>
        <w:gridCol w:w="1395"/>
        <w:gridCol w:w="141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9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估算投资额</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咨询评估项目</w:t>
            </w:r>
          </w:p>
        </w:tc>
        <w:tc>
          <w:tcPr>
            <w:tcW w:w="15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3000万元~ 1亿元</w:t>
            </w: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1亿元~  5亿元</w:t>
            </w:r>
          </w:p>
        </w:tc>
        <w:tc>
          <w:tcPr>
            <w:tcW w:w="13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5亿元~ 10亿元</w:t>
            </w:r>
          </w:p>
        </w:tc>
        <w:tc>
          <w:tcPr>
            <w:tcW w:w="14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10亿元~50亿元</w:t>
            </w:r>
          </w:p>
        </w:tc>
        <w:tc>
          <w:tcPr>
            <w:tcW w:w="14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50亿元以上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9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一、编制项目建议书</w:t>
            </w:r>
          </w:p>
        </w:tc>
        <w:tc>
          <w:tcPr>
            <w:tcW w:w="15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6-14</w:t>
            </w: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14-37</w:t>
            </w:r>
          </w:p>
        </w:tc>
        <w:tc>
          <w:tcPr>
            <w:tcW w:w="13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37-55</w:t>
            </w:r>
          </w:p>
        </w:tc>
        <w:tc>
          <w:tcPr>
            <w:tcW w:w="14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55-100</w:t>
            </w:r>
          </w:p>
        </w:tc>
        <w:tc>
          <w:tcPr>
            <w:tcW w:w="14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100—125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9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二、编制可行性研究报告</w:t>
            </w:r>
          </w:p>
        </w:tc>
        <w:tc>
          <w:tcPr>
            <w:tcW w:w="15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12-28</w:t>
            </w: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28-75</w:t>
            </w:r>
          </w:p>
        </w:tc>
        <w:tc>
          <w:tcPr>
            <w:tcW w:w="13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75-110</w:t>
            </w:r>
          </w:p>
        </w:tc>
        <w:tc>
          <w:tcPr>
            <w:tcW w:w="14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110-200</w:t>
            </w:r>
          </w:p>
        </w:tc>
        <w:tc>
          <w:tcPr>
            <w:tcW w:w="14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200—250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9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三、评估项目建议书</w:t>
            </w:r>
          </w:p>
        </w:tc>
        <w:tc>
          <w:tcPr>
            <w:tcW w:w="15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4-8</w:t>
            </w: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8-12</w:t>
            </w:r>
          </w:p>
        </w:tc>
        <w:tc>
          <w:tcPr>
            <w:tcW w:w="13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12-15</w:t>
            </w:r>
          </w:p>
        </w:tc>
        <w:tc>
          <w:tcPr>
            <w:tcW w:w="14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15-17</w:t>
            </w:r>
          </w:p>
        </w:tc>
        <w:tc>
          <w:tcPr>
            <w:tcW w:w="14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90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四、评估可行性研究报告</w:t>
            </w:r>
          </w:p>
        </w:tc>
        <w:tc>
          <w:tcPr>
            <w:tcW w:w="15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5-10 </w:t>
            </w:r>
          </w:p>
        </w:tc>
        <w:tc>
          <w:tcPr>
            <w:tcW w:w="151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10-15</w:t>
            </w:r>
          </w:p>
        </w:tc>
        <w:tc>
          <w:tcPr>
            <w:tcW w:w="13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15-20</w:t>
            </w:r>
          </w:p>
        </w:tc>
        <w:tc>
          <w:tcPr>
            <w:tcW w:w="14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20-25</w:t>
            </w:r>
          </w:p>
        </w:tc>
        <w:tc>
          <w:tcPr>
            <w:tcW w:w="14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25—35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210" w:type="dxa"/>
            <w:gridSpan w:val="6"/>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注：1、建设项目估算投资额是指项目建议书或者可行性研究报告的估算投资额。</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2、建设项目的具体收费标准，根据估算投资额在相对应的区间内用插入法计算。</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3、根据行业特点和各行业内部不同类别工程的复杂程度，计算咨询费用时可分别</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br w:type="textWrapping"/>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乘以行业调整系数和工程复杂程度调整系数</w:t>
            </w:r>
          </w:p>
        </w:tc>
      </w:tr>
    </w:tbl>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4"/>
          <w:szCs w:val="24"/>
          <w:lang w:val="en-US" w:eastAsia="zh-CN" w:bidi="ar"/>
        </w:rPr>
        <w:t> </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二、按建设项目估算投资额分档收费的调整系数</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210"/>
        <w:gridCol w:w="30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行业</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调整系数（以表一所列收费标准为1）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一、行业调整系数</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1、石化、化工、钢铁</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石油、天然气、水利、火电、交通(水运)、化纤  </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3、有色、黄金、纺织、轻工、邮电、广播电视、 医药、煤炭、水电(含核电)、机械(含船舶、航空、 航天、兵器) </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林业、商业、粮食、建筑</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5、建材、交通(公路)、铁道、市政公用工程</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62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二、工程复杂程度调查系数</w:t>
            </w:r>
          </w:p>
        </w:tc>
        <w:tc>
          <w:tcPr>
            <w:tcW w:w="30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0.8—1.2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21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工程复杂程度具体调整系数由工程咨询机构与委托单位根据各类工程情况协商确定。</w:t>
            </w:r>
          </w:p>
        </w:tc>
      </w:tr>
    </w:tbl>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1"/>
          <w:szCs w:val="21"/>
          <w:lang w:val="en-US" w:eastAsia="zh-CN" w:bidi="ar"/>
        </w:rPr>
        <w:br w:type="textWrapping"/>
      </w:r>
      <w:r>
        <w:rPr>
          <w:rFonts w:hint="eastAsia" w:ascii="微软雅黑" w:hAnsi="微软雅黑" w:eastAsia="微软雅黑" w:cs="微软雅黑"/>
          <w:i w:val="0"/>
          <w:iCs w:val="0"/>
          <w:caps w:val="0"/>
          <w:color w:val="333333"/>
          <w:spacing w:val="0"/>
          <w:kern w:val="0"/>
          <w:sz w:val="21"/>
          <w:szCs w:val="21"/>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三、工程咨询人员工日费用标准                                 单位：元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935"/>
        <w:gridCol w:w="4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49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咨询人员职级</w:t>
            </w:r>
          </w:p>
        </w:tc>
        <w:tc>
          <w:tcPr>
            <w:tcW w:w="42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工日费用标准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9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一、高级专家</w:t>
            </w:r>
          </w:p>
        </w:tc>
        <w:tc>
          <w:tcPr>
            <w:tcW w:w="42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1000－1200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二、高级专业技术职称的咨询人员</w:t>
            </w:r>
          </w:p>
        </w:tc>
        <w:tc>
          <w:tcPr>
            <w:tcW w:w="42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800-1000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3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三、中级专业技术职称的咨询人员</w:t>
            </w:r>
          </w:p>
        </w:tc>
        <w:tc>
          <w:tcPr>
            <w:tcW w:w="426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600-800</w:t>
            </w:r>
          </w:p>
        </w:tc>
      </w:tr>
    </w:tbl>
    <w:p>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4"/>
          <w:szCs w:val="24"/>
          <w:lang w:val="en-US" w:eastAsia="zh-CN" w:bidi="ar"/>
        </w:rPr>
        <w:t> </w:t>
      </w:r>
    </w:p>
    <w:p/>
    <w:sectPr>
      <w:pgSz w:w="11906" w:h="16838"/>
      <w:pgMar w:top="454" w:right="454" w:bottom="45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MDA3MzljYzI1MGMwMmEwNWM3YmMzYTE2N2EzM2MifQ=="/>
  </w:docVars>
  <w:rsids>
    <w:rsidRoot w:val="2CB43BCD"/>
    <w:rsid w:val="2CB4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2023-04-21T07:21:00Z</dcterms:created>
  <dc:creator>正大鹏安招标造价市政房建四甲</dc:creator>
  <cp:lastModifiedBy>正大鹏安招标造价市政房建四甲</cp:lastModifiedBy>
  <dcterms:modified xsi:type="dcterms:W3CDTF">2023-04-21T07:24:08Z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6CA5E7D7F6464146892B5D35965E0928_11</vt:lpwstr>
  </property>
</Properties>
</file>