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《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建设工程监理与相关服务收费管理规定》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lang w:val="en-US" w:eastAsia="zh-CN" w:bidi="ar"/>
        </w:rPr>
        <w:t>国家发展改革委、建设部    发改价格[2007]670号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施工监理服务收费基价表          单位：万元</w:t>
      </w:r>
    </w:p>
    <w:tbl>
      <w:tblPr>
        <w:tblW w:w="101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7"/>
        <w:gridCol w:w="2982"/>
        <w:gridCol w:w="2275"/>
        <w:gridCol w:w="2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计费额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收费基价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费率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16.5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30.1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120.8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181.0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218.6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393.4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708.2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991.4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1255.8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1507.0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200000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2712.5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400000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4882.6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600000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6835.6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800000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8658.4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1.08 %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9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982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1000000</w:t>
            </w:r>
          </w:p>
        </w:tc>
        <w:tc>
          <w:tcPr>
            <w:tcW w:w="227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10390.1</w:t>
            </w:r>
          </w:p>
        </w:tc>
        <w:tc>
          <w:tcPr>
            <w:tcW w:w="248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1.04 %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注：计费额大于1000000万元的，以计费额乘以1.039%的收费率计算收费基价。其他未包含的其收费由双方协商议定。以上标准按内插费计算。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计算施工监理服务收费基准价举例：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某工程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instrText xml:space="preserve"> HYPERLINK "http://wenwen.soso.com/z/Search.e?sp=S%E6%8A%95%E8%B5%84%E9%A2%9D&amp;ch=w.search.yjjlink&amp;cid=w.search.yjjlink"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t>投资额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为2883万元，该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instrText xml:space="preserve"> HYPERLINK "http://wenwen.soso.com/z/Search.e?sp=S%E5%B7%A5%E7%A8%8B%E9%A1%B9%E7%9B%AE&amp;ch=w.search.yjjlink&amp;cid=w.search.yjjlink"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t>工程项目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instrText xml:space="preserve"> HYPERLINK "http://wenwen.soso.com/z/Search.e?sp=S%E6%96%BD%E5%B7%A5%E7%9B%91%E7%90%86&amp;ch=w.search.yjjlink&amp;cid=w.search.yjjlink"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t>施工监理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服务收费的计算额为2883万元。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instrText xml:space="preserve"> HYPERLINK "http://wenwen.soso.com/z/Search.e?sp=S%E5%B7%A5%E7%A8%8B%E8%AE%A1%E7%AE%97&amp;ch=w.search.yjjlink&amp;cid=w.search.yjjlink"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t>工程计算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为2883万元的收费基价X计算如下：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X=30.1+(78.1－30.1)/（3000-1000）×（2883-1000）=75.292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按文件精神和有关要求，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instrText xml:space="preserve"> HYPERLINK "http://wenwen.soso.com/z/Search.e?sp=S%E5%B7%A5%E7%A8%8B%E7%9B%91%E7%90%86&amp;ch=w.search.yjjlink&amp;cid=w.search.yjjlink"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u w:val="none"/>
        </w:rPr>
        <w:t>工程监理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4"/>
          <w:szCs w:val="24"/>
          <w:u w:val="none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服务收费基价浮动幅度值为20%。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1、施工监理服务收费=施工阶段监理服务收费基准价×（1±20%）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2、施工监理服务收费报价范围：监理服务收费的0.8～1.2之间。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  <w:t>按照惯例:工期依据定额工期; 超过合同约定工期的支付附加报酬为附加工作日数×合同报酬／合同监理服务日。</w:t>
      </w:r>
    </w:p>
    <w:p>
      <w:pPr>
        <w:rPr>
          <w:sz w:val="24"/>
          <w:szCs w:val="24"/>
        </w:rPr>
      </w:pPr>
    </w:p>
    <w:sectPr>
      <w:pgSz w:w="11906" w:h="16838"/>
      <w:pgMar w:top="454" w:right="454" w:bottom="45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M2ExYTdlZDNjMjU0NTc3NWJiN2JhYjU1MjhlOWIifQ=="/>
  </w:docVars>
  <w:rsids>
    <w:rsidRoot w:val="6C9A7817"/>
    <w:rsid w:val="58764240"/>
    <w:rsid w:val="6C9A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2023-04-21T07:39:00Z</dcterms:created>
  <dc:creator>正大鹏安招标造价市政房建四甲</dc:creator>
  <cp:lastModifiedBy>Administrator</cp:lastModifiedBy>
  <dcterms:modified xsi:type="dcterms:W3CDTF">2023-08-26T06:57:19Z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9EB71340AA3B4951915D88829B0D70C0_13</vt:lpwstr>
  </property>
</Properties>
</file>